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 ЧНОУ «Школа «Дашенька»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Календарный учебный график реализации образовательной программы составляется в соответствии с Законом «Об образовании в Российской Федерации»(п.10, ст.2) и ФГОС НОО (п.19.10.1)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Примерный календарный учебный график образовательной программы составляется с учётом требований СанПин и мнения участников образовательных отношений.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1.Начало учебного года 1 сентября, если 1 сентября – воскресенье, то учебный год начинается со 2 сентября;окончание учебного года в соответствии с учебным планом ООП НОО.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2.Продолжительность учебного года для учащихся 2-4 классов 34 недели, для учащихся 1 классов - 33 недели; учебный год делится на триместры, между которыми устанавливаются каникулы.Продолжительность каникул не менее 7 календарных дней.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3.Выходные и праздничные дни определены в соотвествии с Постановлением Правительства РФ «О переносе выходных дней»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4Сроки и продолжительность каникул в учебный период составляет не менее 30 календарных дней, в летний период – не менее 8 недель.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5.Срок проведения промежуточных аттестаций 7-8 дней до окончания триместра.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tbl>
      <w:tblPr>
        <w:tblW w:w="10379" w:type="dxa"/>
        <w:tblLook w:val="04A0" w:firstRow="1" w:lastRow="0" w:firstColumn="1" w:lastColumn="0" w:noHBand="0" w:noVBand="1"/>
      </w:tblPr>
      <w:tblGrid>
        <w:gridCol w:w="887"/>
        <w:gridCol w:w="61"/>
        <w:gridCol w:w="613"/>
        <w:gridCol w:w="671"/>
        <w:gridCol w:w="531"/>
        <w:gridCol w:w="531"/>
        <w:gridCol w:w="574"/>
        <w:gridCol w:w="436"/>
        <w:gridCol w:w="476"/>
        <w:gridCol w:w="480"/>
        <w:gridCol w:w="127"/>
        <w:gridCol w:w="353"/>
        <w:gridCol w:w="456"/>
        <w:gridCol w:w="440"/>
        <w:gridCol w:w="554"/>
        <w:gridCol w:w="535"/>
        <w:gridCol w:w="607"/>
        <w:gridCol w:w="440"/>
        <w:gridCol w:w="761"/>
        <w:gridCol w:w="846"/>
      </w:tblGrid>
      <w:tr>
        <w:trPr/>
        <w:tc>
          <w:tcPr>
            <w:tcW w:w="88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Модуль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10"/>
            <w:tcW w:w="45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Учебный период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W w:w="4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Каникулярный период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45"/>
        </w:trPr>
        <w:tc>
          <w:tcPr>
            <w:tcW w:w="8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gridSpan w:val="10"/>
            <w:tcW w:w="450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сентября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октября 2022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W w:w="4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.10.202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.10.202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45"/>
        </w:trPr>
        <w:tc>
          <w:tcPr>
            <w:tcW w:w="8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gridSpan w:val="10"/>
            <w:tcW w:w="450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 октября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–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2022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W w:w="4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60"/>
        </w:trPr>
        <w:tc>
          <w:tcPr>
            <w:tcW w:w="8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gridSpan w:val="10"/>
            <w:tcW w:w="450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2022-30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2022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W w:w="4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31.12.202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15"/>
        </w:trPr>
        <w:tc>
          <w:tcPr>
            <w:tcW w:w="8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gridSpan w:val="10"/>
            <w:tcW w:w="450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января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февраля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W w:w="4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.02.202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.02.202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8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gridSpan w:val="10"/>
            <w:tcW w:w="450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февраля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апреля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W w:w="4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.04 202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.04.202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88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VI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gridSpan w:val="10"/>
            <w:tcW w:w="450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мая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W w:w="4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ind w:firstLine="70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5-дневной учебной неделе 164 учебных дня – 32,8 учебных недель</w:t>
      </w:r>
      <w:r>
        <w:rPr>
          <w:rFonts w:ascii="Times New Roman" w:hAnsi="Times New Roman" w:cs="Times New Roman"/>
        </w:rPr>
      </w:r>
      <w:r/>
    </w:p>
    <w:p>
      <w:pPr>
        <w:ind w:firstLine="70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Каникулярных дней - 37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107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3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9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17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6"/>
    <w:next w:val="856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1">
    <w:name w:val="Heading 1 Char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6"/>
    <w:next w:val="85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3">
    <w:name w:val="Heading 2 Char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5">
    <w:name w:val="Heading 3 Char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>
    <w:name w:val="Heading 4 Char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>
    <w:name w:val="Heading 5 Char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1">
    <w:name w:val="Heading 6 Char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No Spacing"/>
    <w:basedOn w:val="856"/>
    <w:uiPriority w:val="1"/>
    <w:qFormat/>
    <w:pPr>
      <w:spacing w:after="0" w:line="240" w:lineRule="auto"/>
    </w:pPr>
  </w:style>
  <w:style w:type="paragraph" w:styleId="860">
    <w:name w:val="List Paragraph"/>
    <w:basedOn w:val="856"/>
    <w:uiPriority w:val="34"/>
    <w:qFormat/>
    <w:pPr>
      <w:contextualSpacing/>
      <w:ind w:left="720"/>
    </w:pPr>
  </w:style>
  <w:style w:type="character" w:styleId="861" w:default="1">
    <w:name w:val="Default Paragraph Font"/>
    <w:uiPriority w:val="1"/>
    <w:semiHidden/>
    <w:unhideWhenUsed/>
  </w:style>
  <w:style w:type="character" w:styleId="862">
    <w:name w:val="Emphasis"/>
    <w:qFormat/>
    <w:rPr>
      <w:rFonts w:cs="Times New Roman"/>
      <w:i/>
      <w:iCs/>
    </w:rPr>
  </w:style>
  <w:style w:type="character" w:styleId="863">
    <w:name w:val="Strong"/>
    <w:uiPriority w:val="22"/>
    <w:qFormat/>
    <w:rPr>
      <w:rFonts w:cs="Times New Roman"/>
      <w:b/>
      <w:bCs/>
    </w:rPr>
  </w:style>
  <w:style w:type="paragraph" w:styleId="864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en-US"/>
    </w:rPr>
  </w:style>
  <w:style w:type="paragraph" w:styleId="865">
    <w:name w:val="Body Text 2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  <w:style w:type="paragraph" w:styleId="866" w:customStyle="1">
    <w:name w:val="Основной текст 21"/>
    <w:pPr>
      <w:contextualSpacing w:val="0"/>
      <w:ind w:left="0" w:right="0" w:firstLine="709"/>
      <w:jc w:val="both"/>
      <w:keepLines w:val="0"/>
      <w:keepNext w:val="0"/>
      <w:pageBreakBefore w:val="0"/>
      <w:spacing w:before="0" w:beforeAutospacing="0" w:after="0" w:afterAutospacing="0" w:line="36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de-DE"/>
    </w:rPr>
  </w:style>
  <w:style w:type="paragraph" w:styleId="867" w:customStyle="1">
    <w:name w:val="Пояснения"/>
    <w:pPr>
      <w:contextualSpacing w:val="0"/>
      <w:ind w:left="284" w:right="0" w:firstLine="425"/>
      <w:jc w:val="left"/>
      <w:keepLines w:val="0"/>
      <w:keepNext w:val="0"/>
      <w:pageBreakBefore w:val="0"/>
      <w:spacing w:before="0" w:beforeAutospacing="0" w:after="0" w:afterAutospacing="0" w:line="288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 w:val="0"/>
      <w:bCs/>
      <w:i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4"/>
      <w:highlight w:val="none"/>
      <w:u w:val="none"/>
      <w:vertAlign w:val="baseline"/>
      <w:rtl w:val="false"/>
      <w:cs w:val="false"/>
      <w:lang w:val="en-US" w:bidi="en-US" w:eastAsia="en-US"/>
    </w:rPr>
  </w:style>
  <w:style w:type="paragraph" w:styleId="868">
    <w:name w:val="Normal (Web)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869" w:customStyle="1">
    <w:name w:val="Пример"/>
    <w:pPr>
      <w:contextualSpacing/>
      <w:ind w:left="0" w:right="0" w:firstLine="425"/>
      <w:jc w:val="left"/>
      <w:keepLines w:val="0"/>
      <w:keepNext w:val="0"/>
      <w:pageBreakBefore w:val="0"/>
      <w:spacing w:before="60" w:beforeAutospacing="0" w:after="6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en-US" w:eastAsia="en-US"/>
    </w:rPr>
  </w:style>
  <w:style w:type="paragraph" w:styleId="870" w:customStyle="1">
    <w:name w:val="Таблица (текст)"/>
    <w:pPr>
      <w:contextualSpacing w:val="0"/>
      <w:ind w:left="0" w:right="0" w:firstLine="0"/>
      <w:jc w:val="left"/>
      <w:keepLines w:val="0"/>
      <w:keepNext w:val="0"/>
      <w:pageBreakBefore w:val="0"/>
      <w:spacing w:before="45" w:beforeAutospacing="0" w:after="45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-5"/>
      <w:position w:val="0"/>
      <w:sz w:val="24"/>
      <w:szCs w:val="24"/>
      <w:highlight w:val="none"/>
      <w:u w:val="none"/>
      <w:vertAlign w:val="baseline"/>
      <w:rtl w:val="false"/>
      <w:cs w:val="false"/>
      <w:lang w:val="en-US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2022-09-12T10:07:39Z</dcterms:modified>
</cp:coreProperties>
</file>